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634" w:rsidRDefault="00F354BF">
      <w:pPr>
        <w:rPr>
          <w:b/>
          <w:sz w:val="36"/>
        </w:rPr>
      </w:pPr>
      <w:r w:rsidRPr="00F354BF">
        <w:rPr>
          <w:b/>
          <w:sz w:val="36"/>
        </w:rPr>
        <w:t>Online-Workshop: Patientenverfügung, Vorsorgevollmacht, Betreuungs</w:t>
      </w:r>
      <w:r w:rsidR="008542B1">
        <w:rPr>
          <w:b/>
          <w:sz w:val="36"/>
        </w:rPr>
        <w:t>verfügung</w:t>
      </w:r>
      <w:r w:rsidRPr="00F354BF">
        <w:rPr>
          <w:b/>
          <w:sz w:val="36"/>
        </w:rPr>
        <w:t xml:space="preserve"> und Testament</w:t>
      </w:r>
    </w:p>
    <w:p w:rsidR="00A24A1E" w:rsidRPr="00D33AAC" w:rsidRDefault="00D33AAC" w:rsidP="00D33AAC">
      <w:pPr>
        <w:spacing w:after="360" w:line="240" w:lineRule="auto"/>
        <w:rPr>
          <w:b/>
          <w:sz w:val="20"/>
        </w:rPr>
      </w:pPr>
      <w:r w:rsidRPr="00D33AAC">
        <w:rPr>
          <w:b/>
          <w:sz w:val="20"/>
        </w:rPr>
        <w:t>von Constantin Borngesser</w:t>
      </w:r>
      <w:r>
        <w:rPr>
          <w:b/>
          <w:sz w:val="20"/>
        </w:rPr>
        <w:t>, sozialarbeiterischer Berater beim Mukoviszidose Landesverband Berlin-Brandenburg e.V.</w:t>
      </w:r>
    </w:p>
    <w:p w:rsidR="008C6DB6" w:rsidRDefault="00F354BF" w:rsidP="00F354BF">
      <w:pPr>
        <w:rPr>
          <w:sz w:val="24"/>
          <w:szCs w:val="24"/>
        </w:rPr>
      </w:pPr>
      <w:r w:rsidRPr="00F354BF">
        <w:rPr>
          <w:sz w:val="24"/>
        </w:rPr>
        <w:t>Patientenverfügung</w:t>
      </w:r>
      <w:r>
        <w:rPr>
          <w:sz w:val="24"/>
        </w:rPr>
        <w:t>en</w:t>
      </w:r>
      <w:r w:rsidRPr="00F354BF">
        <w:rPr>
          <w:sz w:val="24"/>
        </w:rPr>
        <w:t>, Vorsorgevollmacht</w:t>
      </w:r>
      <w:r>
        <w:rPr>
          <w:sz w:val="24"/>
        </w:rPr>
        <w:t>en</w:t>
      </w:r>
      <w:r w:rsidRPr="00F354BF">
        <w:rPr>
          <w:sz w:val="24"/>
        </w:rPr>
        <w:t>, Betreuungsvollmacht</w:t>
      </w:r>
      <w:r>
        <w:rPr>
          <w:sz w:val="24"/>
        </w:rPr>
        <w:t>en</w:t>
      </w:r>
      <w:r w:rsidRPr="00F354BF">
        <w:rPr>
          <w:sz w:val="24"/>
        </w:rPr>
        <w:t xml:space="preserve"> und Testament</w:t>
      </w:r>
      <w:r>
        <w:rPr>
          <w:sz w:val="24"/>
        </w:rPr>
        <w:t>e h</w:t>
      </w:r>
      <w:r>
        <w:rPr>
          <w:sz w:val="24"/>
          <w:szCs w:val="24"/>
        </w:rPr>
        <w:t xml:space="preserve">aben alle gemein, dass der </w:t>
      </w:r>
      <w:r w:rsidRPr="00F354BF">
        <w:rPr>
          <w:b/>
          <w:sz w:val="24"/>
          <w:szCs w:val="24"/>
        </w:rPr>
        <w:t>Wille</w:t>
      </w:r>
      <w:r>
        <w:rPr>
          <w:sz w:val="24"/>
          <w:szCs w:val="24"/>
        </w:rPr>
        <w:t xml:space="preserve">, bzw. mutmaßliche Wille eines </w:t>
      </w:r>
      <w:r w:rsidR="001819DE">
        <w:rPr>
          <w:sz w:val="24"/>
          <w:szCs w:val="24"/>
        </w:rPr>
        <w:t xml:space="preserve">volljährigen </w:t>
      </w:r>
      <w:r>
        <w:rPr>
          <w:sz w:val="24"/>
          <w:szCs w:val="24"/>
        </w:rPr>
        <w:t xml:space="preserve">Menschen für </w:t>
      </w:r>
      <w:r w:rsidRPr="00F354BF">
        <w:rPr>
          <w:b/>
          <w:sz w:val="24"/>
          <w:szCs w:val="24"/>
        </w:rPr>
        <w:t>Entscheidungsfindungen</w:t>
      </w:r>
      <w:r>
        <w:rPr>
          <w:sz w:val="24"/>
          <w:szCs w:val="24"/>
        </w:rPr>
        <w:t xml:space="preserve"> genutzt werden kann und soll, wenn diese Person </w:t>
      </w:r>
      <w:r w:rsidRPr="00F354BF">
        <w:rPr>
          <w:b/>
          <w:sz w:val="24"/>
          <w:szCs w:val="24"/>
        </w:rPr>
        <w:t>nicht mehr in der Lage ist, ihren Willen zu artikulieren</w:t>
      </w:r>
      <w:r w:rsidR="00C22937">
        <w:rPr>
          <w:b/>
          <w:sz w:val="24"/>
          <w:szCs w:val="24"/>
        </w:rPr>
        <w:t xml:space="preserve"> (Einwilligungsunfähigkeit)</w:t>
      </w:r>
      <w:r w:rsidRPr="00F354BF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Bei den ersten drei genannten Verfügungen und Vollmachten</w:t>
      </w:r>
      <w:r w:rsidR="001050D6">
        <w:rPr>
          <w:sz w:val="24"/>
          <w:szCs w:val="24"/>
        </w:rPr>
        <w:t xml:space="preserve"> passiert das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während der Mensch</w:t>
      </w:r>
      <w:proofErr w:type="gramEnd"/>
      <w:r>
        <w:rPr>
          <w:sz w:val="24"/>
          <w:szCs w:val="24"/>
        </w:rPr>
        <w:t xml:space="preserve"> lebt und beim Testament nach dem Tode.</w:t>
      </w:r>
      <w:r w:rsidR="00D567B1">
        <w:rPr>
          <w:sz w:val="24"/>
          <w:szCs w:val="24"/>
        </w:rPr>
        <w:t xml:space="preserve"> Somit stärken alle diese Instrumente das Recht auf Selbstbestimmung.</w:t>
      </w:r>
      <w:r w:rsidR="008C6DB6">
        <w:rPr>
          <w:sz w:val="24"/>
          <w:szCs w:val="24"/>
        </w:rPr>
        <w:t xml:space="preserve"> Angehörige haben keine Entscheidungsbefugnis!</w:t>
      </w:r>
    </w:p>
    <w:p w:rsidR="00F354BF" w:rsidRDefault="008542B1" w:rsidP="002672B6">
      <w:pPr>
        <w:pStyle w:val="berschrift1"/>
      </w:pPr>
      <w:r w:rsidRPr="008542B1">
        <w:t>Patientenverfügung, Vorsorgevollmacht, Betreuungsverfügung</w:t>
      </w:r>
    </w:p>
    <w:p w:rsidR="008542B1" w:rsidRDefault="008542B1" w:rsidP="00F354BF">
      <w:pPr>
        <w:rPr>
          <w:sz w:val="24"/>
          <w:szCs w:val="24"/>
        </w:rPr>
      </w:pPr>
      <w:r>
        <w:rPr>
          <w:sz w:val="24"/>
          <w:szCs w:val="24"/>
        </w:rPr>
        <w:t>Ich stelle kurz die</w:t>
      </w:r>
      <w:r w:rsidR="00D567B1">
        <w:rPr>
          <w:sz w:val="24"/>
          <w:szCs w:val="24"/>
        </w:rPr>
        <w:t>se</w:t>
      </w:r>
      <w:r>
        <w:rPr>
          <w:sz w:val="24"/>
          <w:szCs w:val="24"/>
        </w:rPr>
        <w:t xml:space="preserve"> drei Vorsorgemöglichkeiten und ihre Unterschiede dar</w:t>
      </w:r>
      <w:r w:rsidR="00D567B1">
        <w:rPr>
          <w:sz w:val="24"/>
          <w:szCs w:val="24"/>
        </w:rPr>
        <w:t>. Generell gilt, dass jede/r ärztliche Eingriff/ Behandlung ohne Zustimmung des Patienten eine strafrechtlich relevante Köperverletzung sein kann.</w:t>
      </w:r>
    </w:p>
    <w:p w:rsidR="008542B1" w:rsidRDefault="008542B1" w:rsidP="00E0244C">
      <w:pPr>
        <w:pStyle w:val="berschrift3"/>
      </w:pPr>
      <w:r w:rsidRPr="008542B1">
        <w:t xml:space="preserve">Patientenverfügung: </w:t>
      </w:r>
    </w:p>
    <w:p w:rsidR="008542B1" w:rsidRPr="008542B1" w:rsidRDefault="008542B1" w:rsidP="008542B1">
      <w:pPr>
        <w:pStyle w:val="Listenabsatz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geht um medizinische Maßnahmen: welche</w:t>
      </w:r>
      <w:r w:rsidR="00C22937">
        <w:rPr>
          <w:sz w:val="24"/>
          <w:szCs w:val="24"/>
        </w:rPr>
        <w:t xml:space="preserve"> Maßnahmen</w:t>
      </w:r>
      <w:r>
        <w:rPr>
          <w:sz w:val="24"/>
          <w:szCs w:val="24"/>
        </w:rPr>
        <w:t xml:space="preserve"> möchte </w:t>
      </w:r>
      <w:r w:rsidR="00C22937">
        <w:rPr>
          <w:sz w:val="24"/>
          <w:szCs w:val="24"/>
        </w:rPr>
        <w:t>der entscheidungsunfähige Patient zulassen oder</w:t>
      </w:r>
      <w:r>
        <w:rPr>
          <w:sz w:val="24"/>
          <w:szCs w:val="24"/>
        </w:rPr>
        <w:t xml:space="preserve"> nicht zulassen? (</w:t>
      </w:r>
      <w:r w:rsidR="00C22937">
        <w:rPr>
          <w:sz w:val="24"/>
          <w:szCs w:val="24"/>
        </w:rPr>
        <w:t xml:space="preserve">z.B. </w:t>
      </w:r>
      <w:r>
        <w:rPr>
          <w:sz w:val="24"/>
          <w:szCs w:val="24"/>
        </w:rPr>
        <w:t>Apparatemedizin</w:t>
      </w:r>
      <w:r w:rsidR="002672B6">
        <w:rPr>
          <w:sz w:val="24"/>
          <w:szCs w:val="24"/>
        </w:rPr>
        <w:t>)</w:t>
      </w:r>
    </w:p>
    <w:p w:rsidR="008542B1" w:rsidRDefault="008542B1" w:rsidP="008542B1">
      <w:pPr>
        <w:pStyle w:val="Listenabsatz"/>
        <w:numPr>
          <w:ilvl w:val="0"/>
          <w:numId w:val="4"/>
        </w:numPr>
        <w:rPr>
          <w:sz w:val="24"/>
          <w:szCs w:val="24"/>
        </w:rPr>
      </w:pPr>
      <w:r w:rsidRPr="008542B1">
        <w:rPr>
          <w:sz w:val="24"/>
          <w:szCs w:val="24"/>
        </w:rPr>
        <w:t>seit 2009</w:t>
      </w:r>
      <w:r>
        <w:rPr>
          <w:sz w:val="24"/>
          <w:szCs w:val="24"/>
        </w:rPr>
        <w:t xml:space="preserve"> rechtliche Regelungen</w:t>
      </w:r>
      <w:r w:rsidR="001819DE">
        <w:rPr>
          <w:sz w:val="24"/>
          <w:szCs w:val="24"/>
        </w:rPr>
        <w:t xml:space="preserve"> (BGB §§ 1901a ff)</w:t>
      </w:r>
    </w:p>
    <w:p w:rsidR="002672B6" w:rsidRDefault="002672B6" w:rsidP="008542B1">
      <w:pPr>
        <w:pStyle w:val="Listenabsatz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der notierte Willen muss (von Ärzten) beachtet werden, strafbar falls nicht</w:t>
      </w:r>
    </w:p>
    <w:p w:rsidR="002672B6" w:rsidRDefault="002672B6" w:rsidP="00E0244C">
      <w:pPr>
        <w:pStyle w:val="berschrift3"/>
      </w:pPr>
      <w:r>
        <w:t>Vorsorgevollmacht</w:t>
      </w:r>
    </w:p>
    <w:p w:rsidR="002672B6" w:rsidRDefault="002672B6" w:rsidP="002672B6">
      <w:pPr>
        <w:pStyle w:val="Listenabsatz"/>
        <w:numPr>
          <w:ilvl w:val="0"/>
          <w:numId w:val="5"/>
        </w:numPr>
        <w:rPr>
          <w:sz w:val="24"/>
        </w:rPr>
      </w:pPr>
      <w:r w:rsidRPr="002672B6">
        <w:rPr>
          <w:sz w:val="24"/>
        </w:rPr>
        <w:t>eine Vertrauensperson wird</w:t>
      </w:r>
      <w:r>
        <w:rPr>
          <w:sz w:val="24"/>
        </w:rPr>
        <w:t xml:space="preserve"> ernannt, die sofort und ohne richterliche Bestimmung für die entscheidungsunfähige Person entscheiden kann</w:t>
      </w:r>
    </w:p>
    <w:p w:rsidR="002672B6" w:rsidRDefault="002672B6" w:rsidP="00E0244C">
      <w:pPr>
        <w:pStyle w:val="berschrift3"/>
      </w:pPr>
      <w:r>
        <w:t>Betreuungsverfügung</w:t>
      </w:r>
    </w:p>
    <w:p w:rsidR="002672B6" w:rsidRDefault="002672B6" w:rsidP="002672B6">
      <w:pPr>
        <w:pStyle w:val="Listenabsatz"/>
        <w:numPr>
          <w:ilvl w:val="0"/>
          <w:numId w:val="5"/>
        </w:numPr>
        <w:rPr>
          <w:sz w:val="24"/>
        </w:rPr>
      </w:pPr>
      <w:r w:rsidRPr="00F00D75">
        <w:rPr>
          <w:sz w:val="24"/>
        </w:rPr>
        <w:t>hier kann Einfluss auf die Bestimmung des Betreuers durch das Gericht genommen werden</w:t>
      </w:r>
    </w:p>
    <w:p w:rsidR="0026701A" w:rsidRPr="0026701A" w:rsidRDefault="0026701A" w:rsidP="0026701A">
      <w:pPr>
        <w:pStyle w:val="Listenabsatz"/>
        <w:numPr>
          <w:ilvl w:val="0"/>
          <w:numId w:val="5"/>
        </w:numPr>
        <w:rPr>
          <w:sz w:val="24"/>
        </w:rPr>
      </w:pPr>
      <w:r>
        <w:rPr>
          <w:sz w:val="24"/>
        </w:rPr>
        <w:t>d</w:t>
      </w:r>
      <w:r w:rsidRPr="0026701A">
        <w:rPr>
          <w:sz w:val="24"/>
        </w:rPr>
        <w:t>er zu Betreuende schlägt dem Betreuungsgericht eine Person vor, die die Betreuung übernehmen soll (Gericht prüft Eignung)</w:t>
      </w:r>
    </w:p>
    <w:p w:rsidR="0026701A" w:rsidRPr="0026701A" w:rsidRDefault="0026701A" w:rsidP="0026701A">
      <w:pPr>
        <w:pStyle w:val="Listenabsatz"/>
        <w:numPr>
          <w:ilvl w:val="0"/>
          <w:numId w:val="5"/>
        </w:numPr>
        <w:rPr>
          <w:sz w:val="24"/>
        </w:rPr>
      </w:pPr>
      <w:r>
        <w:rPr>
          <w:sz w:val="24"/>
        </w:rPr>
        <w:t>i</w:t>
      </w:r>
      <w:r w:rsidRPr="0026701A">
        <w:rPr>
          <w:sz w:val="24"/>
        </w:rPr>
        <w:t>n der Verfügung werden die Aufgaben des Betreuers festgelegt und es können dem Betreuer Anweisungen gegeben werden</w:t>
      </w:r>
    </w:p>
    <w:p w:rsidR="00E0244C" w:rsidRDefault="00E0244C" w:rsidP="00E0244C">
      <w:pPr>
        <w:pStyle w:val="berschrift1"/>
      </w:pPr>
      <w:r>
        <w:t>Patientenverfügung</w:t>
      </w:r>
    </w:p>
    <w:p w:rsidR="00AE1C97" w:rsidRDefault="00AE1C97" w:rsidP="00F00D75">
      <w:pPr>
        <w:pStyle w:val="Listenabsatz"/>
        <w:numPr>
          <w:ilvl w:val="0"/>
          <w:numId w:val="5"/>
        </w:numPr>
        <w:rPr>
          <w:sz w:val="24"/>
        </w:rPr>
      </w:pPr>
      <w:r>
        <w:rPr>
          <w:sz w:val="24"/>
        </w:rPr>
        <w:t>Eigenverantwortung auch bei fehlender Willensäußerung</w:t>
      </w:r>
    </w:p>
    <w:p w:rsidR="00BC7EC8" w:rsidRDefault="00174498" w:rsidP="00F00D75">
      <w:pPr>
        <w:pStyle w:val="Listenabsatz"/>
        <w:numPr>
          <w:ilvl w:val="0"/>
          <w:numId w:val="5"/>
        </w:numPr>
        <w:rPr>
          <w:sz w:val="24"/>
        </w:rPr>
      </w:pPr>
      <w:r>
        <w:rPr>
          <w:sz w:val="24"/>
        </w:rPr>
        <w:t>W</w:t>
      </w:r>
      <w:r w:rsidR="00BC7EC8">
        <w:rPr>
          <w:sz w:val="24"/>
        </w:rPr>
        <w:t>ird</w:t>
      </w:r>
      <w:r>
        <w:rPr>
          <w:sz w:val="24"/>
        </w:rPr>
        <w:t xml:space="preserve"> </w:t>
      </w:r>
      <w:r w:rsidR="00BC7EC8">
        <w:rPr>
          <w:sz w:val="24"/>
        </w:rPr>
        <w:t>an die an der Behandlung beteiligten (Ärzte und ihre Mitarbeiter) adressiert</w:t>
      </w:r>
    </w:p>
    <w:p w:rsidR="002B1EF8" w:rsidRDefault="00174498" w:rsidP="00F00D75">
      <w:pPr>
        <w:pStyle w:val="Listenabsatz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Muss in Schriftform </w:t>
      </w:r>
      <w:r w:rsidR="002B1EF8">
        <w:rPr>
          <w:sz w:val="24"/>
        </w:rPr>
        <w:t xml:space="preserve">mit Unterschrift </w:t>
      </w:r>
      <w:r>
        <w:rPr>
          <w:sz w:val="24"/>
        </w:rPr>
        <w:t>vorliegen</w:t>
      </w:r>
    </w:p>
    <w:p w:rsidR="00174498" w:rsidRDefault="002B1EF8" w:rsidP="00F00D75">
      <w:pPr>
        <w:pStyle w:val="Listenabsatz"/>
        <w:numPr>
          <w:ilvl w:val="0"/>
          <w:numId w:val="5"/>
        </w:numPr>
        <w:rPr>
          <w:sz w:val="24"/>
        </w:rPr>
      </w:pPr>
      <w:r>
        <w:rPr>
          <w:sz w:val="24"/>
        </w:rPr>
        <w:t>Eine notarielle Beurkundung ist nur notwendig, wenn keine Unterschrift geleistet werden kann</w:t>
      </w:r>
    </w:p>
    <w:p w:rsidR="00E23447" w:rsidRDefault="00E23447" w:rsidP="00F00D75">
      <w:pPr>
        <w:pStyle w:val="Listenabsatz"/>
        <w:numPr>
          <w:ilvl w:val="0"/>
          <w:numId w:val="5"/>
        </w:numPr>
        <w:rPr>
          <w:sz w:val="24"/>
        </w:rPr>
      </w:pPr>
      <w:r>
        <w:rPr>
          <w:sz w:val="24"/>
        </w:rPr>
        <w:t>Ärztliche Stellungnahme über Verständnis der beschriebenen medizinischen Maßnahmen ist hilfreich</w:t>
      </w:r>
    </w:p>
    <w:p w:rsidR="00A045ED" w:rsidRDefault="00E23447" w:rsidP="00F00D75">
      <w:pPr>
        <w:pStyle w:val="Listenabsatz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Aktualität: mglst. jährliche Überprüfung und Aktualisierung </w:t>
      </w:r>
    </w:p>
    <w:p w:rsidR="00E23447" w:rsidRDefault="00E23447" w:rsidP="00F00D75">
      <w:pPr>
        <w:pStyle w:val="Listenabsatz"/>
        <w:numPr>
          <w:ilvl w:val="0"/>
          <w:numId w:val="5"/>
        </w:numPr>
        <w:rPr>
          <w:sz w:val="24"/>
        </w:rPr>
      </w:pPr>
      <w:r>
        <w:rPr>
          <w:sz w:val="24"/>
        </w:rPr>
        <w:lastRenderedPageBreak/>
        <w:t xml:space="preserve">Formloser Widerruf jederzeit </w:t>
      </w:r>
      <w:proofErr w:type="spellStart"/>
      <w:r>
        <w:rPr>
          <w:sz w:val="24"/>
        </w:rPr>
        <w:t>mgl</w:t>
      </w:r>
      <w:proofErr w:type="spellEnd"/>
      <w:r>
        <w:rPr>
          <w:sz w:val="24"/>
        </w:rPr>
        <w:t>., es ist jedoch sinnvoll den Widerruf schriftlich zu fixieren</w:t>
      </w:r>
    </w:p>
    <w:p w:rsidR="00E23447" w:rsidRDefault="00E23447" w:rsidP="00F00D75">
      <w:pPr>
        <w:pStyle w:val="Listenabsatz"/>
        <w:numPr>
          <w:ilvl w:val="0"/>
          <w:numId w:val="5"/>
        </w:numPr>
        <w:rPr>
          <w:sz w:val="24"/>
        </w:rPr>
      </w:pPr>
      <w:r>
        <w:rPr>
          <w:sz w:val="24"/>
        </w:rPr>
        <w:t>Zugriff: Sie sollte an gut zugänglichen Orten hinterlegt werden (beim Partner, Kind/ Eltern, Arzt, Betreuer</w:t>
      </w:r>
      <w:r w:rsidR="00B712E9">
        <w:rPr>
          <w:sz w:val="24"/>
        </w:rPr>
        <w:t xml:space="preserve"> etc.)</w:t>
      </w:r>
      <w:r>
        <w:rPr>
          <w:sz w:val="24"/>
        </w:rPr>
        <w:t xml:space="preserve"> </w:t>
      </w:r>
      <w:r w:rsidR="00B712E9">
        <w:rPr>
          <w:sz w:val="24"/>
        </w:rPr>
        <w:t>und ein Hinweis dazu (oder gleich das ganze Dokument)</w:t>
      </w:r>
      <w:r>
        <w:rPr>
          <w:sz w:val="24"/>
        </w:rPr>
        <w:t xml:space="preserve"> immer </w:t>
      </w:r>
      <w:r w:rsidR="00B712E9">
        <w:rPr>
          <w:sz w:val="24"/>
        </w:rPr>
        <w:t xml:space="preserve">im Handy/ </w:t>
      </w:r>
      <w:proofErr w:type="spellStart"/>
      <w:r w:rsidR="00B712E9">
        <w:rPr>
          <w:sz w:val="24"/>
        </w:rPr>
        <w:t>Portemonaie</w:t>
      </w:r>
      <w:proofErr w:type="spellEnd"/>
      <w:r>
        <w:rPr>
          <w:sz w:val="24"/>
        </w:rPr>
        <w:t xml:space="preserve"> dabei sein</w:t>
      </w:r>
    </w:p>
    <w:p w:rsidR="00E0244C" w:rsidRDefault="00F00D75" w:rsidP="00F00D75">
      <w:pPr>
        <w:pStyle w:val="Listenabsatz"/>
        <w:numPr>
          <w:ilvl w:val="0"/>
          <w:numId w:val="5"/>
        </w:numPr>
        <w:rPr>
          <w:sz w:val="24"/>
        </w:rPr>
      </w:pPr>
      <w:r w:rsidRPr="00F00D75">
        <w:rPr>
          <w:sz w:val="24"/>
        </w:rPr>
        <w:t>da nur schwer alle möglichen Entscheidungen, die im Rahmen von medizinischen Maßnahmen nach einem Unfall oder einer Erkrankung getroffen werden müssen, bedacht werden können, ist es ratsam</w:t>
      </w:r>
      <w:r>
        <w:rPr>
          <w:sz w:val="24"/>
        </w:rPr>
        <w:t>,</w:t>
      </w:r>
      <w:r w:rsidRPr="00F00D75">
        <w:rPr>
          <w:sz w:val="24"/>
        </w:rPr>
        <w:t xml:space="preserve"> auch eine genere</w:t>
      </w:r>
      <w:r>
        <w:rPr>
          <w:sz w:val="24"/>
        </w:rPr>
        <w:t>lle</w:t>
      </w:r>
      <w:r w:rsidRPr="00F00D75">
        <w:rPr>
          <w:sz w:val="24"/>
        </w:rPr>
        <w:t xml:space="preserve"> Einstellung zum Leben</w:t>
      </w:r>
      <w:r>
        <w:rPr>
          <w:sz w:val="24"/>
        </w:rPr>
        <w:t xml:space="preserve"> (Welt- und Religionsanschauungen</w:t>
      </w:r>
      <w:r w:rsidR="00034CCE">
        <w:rPr>
          <w:sz w:val="24"/>
        </w:rPr>
        <w:t>, ethische Grundsätze</w:t>
      </w:r>
      <w:r>
        <w:rPr>
          <w:sz w:val="24"/>
        </w:rPr>
        <w:t>) zu formulieren, die als Orientierung für Entscheidungen dienen können.</w:t>
      </w:r>
    </w:p>
    <w:p w:rsidR="003B45FA" w:rsidRDefault="003B45FA" w:rsidP="00F00D75">
      <w:pPr>
        <w:pStyle w:val="Listenabsatz"/>
        <w:numPr>
          <w:ilvl w:val="0"/>
          <w:numId w:val="5"/>
        </w:numPr>
        <w:rPr>
          <w:sz w:val="24"/>
        </w:rPr>
      </w:pPr>
      <w:r>
        <w:rPr>
          <w:sz w:val="24"/>
        </w:rPr>
        <w:t>Die Angaben sollten so genau wie möglich ausgeführt</w:t>
      </w:r>
      <w:r w:rsidR="00A578F6">
        <w:rPr>
          <w:sz w:val="24"/>
        </w:rPr>
        <w:t xml:space="preserve"> und erklärt</w:t>
      </w:r>
      <w:r>
        <w:rPr>
          <w:sz w:val="24"/>
        </w:rPr>
        <w:t xml:space="preserve"> sein. Beschreibungen wie hoffnungslos oder menschenunwürdig z.B. belassen einen hohen</w:t>
      </w:r>
      <w:r w:rsidR="002F31F9">
        <w:rPr>
          <w:sz w:val="24"/>
        </w:rPr>
        <w:t xml:space="preserve"> Interpretationsspielraum</w:t>
      </w:r>
    </w:p>
    <w:p w:rsidR="00E573EF" w:rsidRDefault="00E573EF" w:rsidP="00F00D75">
      <w:pPr>
        <w:pStyle w:val="Listenabsatz"/>
        <w:numPr>
          <w:ilvl w:val="0"/>
          <w:numId w:val="5"/>
        </w:numPr>
        <w:rPr>
          <w:sz w:val="24"/>
        </w:rPr>
      </w:pPr>
      <w:r>
        <w:rPr>
          <w:sz w:val="24"/>
        </w:rPr>
        <w:t>Dürfen nicht gegen gesetzliche Verbote verstoßen (z.B. Forderung nach Tötung/ aktive Sterbehilfe)</w:t>
      </w:r>
    </w:p>
    <w:p w:rsidR="00E573EF" w:rsidRDefault="00E573EF" w:rsidP="00F00D75">
      <w:pPr>
        <w:pStyle w:val="Listenabsatz"/>
        <w:numPr>
          <w:ilvl w:val="0"/>
          <w:numId w:val="5"/>
        </w:numPr>
        <w:rPr>
          <w:sz w:val="24"/>
        </w:rPr>
      </w:pPr>
      <w:r>
        <w:rPr>
          <w:sz w:val="24"/>
        </w:rPr>
        <w:t>Passive Sterbehilfe ist erlaubt</w:t>
      </w:r>
    </w:p>
    <w:p w:rsidR="008C6DB6" w:rsidRDefault="008C6DB6" w:rsidP="00F00D75">
      <w:pPr>
        <w:pStyle w:val="Listenabsatz"/>
        <w:numPr>
          <w:ilvl w:val="0"/>
          <w:numId w:val="5"/>
        </w:numPr>
        <w:rPr>
          <w:sz w:val="24"/>
        </w:rPr>
      </w:pPr>
      <w:r>
        <w:rPr>
          <w:sz w:val="24"/>
        </w:rPr>
        <w:t>Sind freiwillig, dürfen daher nicht Bedingung in einem Versicherungs- oder Heimvertrag sein</w:t>
      </w:r>
    </w:p>
    <w:p w:rsidR="00911682" w:rsidRDefault="00911682" w:rsidP="00911682">
      <w:pPr>
        <w:pStyle w:val="berschrift1"/>
      </w:pPr>
      <w:r>
        <w:t>Vorsorgevollmacht</w:t>
      </w:r>
    </w:p>
    <w:p w:rsidR="00911682" w:rsidRDefault="00911682" w:rsidP="00911682">
      <w:pPr>
        <w:pStyle w:val="Listenabsatz"/>
        <w:numPr>
          <w:ilvl w:val="0"/>
          <w:numId w:val="5"/>
        </w:numPr>
      </w:pPr>
      <w:r>
        <w:t>Während Patientenverfügungen die ärztliche Behandlung anvisiert, geht es hier um die Verwaltung des Vermögens und anderer wichtiger persönlicher Anliegen</w:t>
      </w:r>
      <w:r w:rsidR="007E6818">
        <w:t>: Wer regelt wie die Angelegenheiten der einwilligungsunfähigen Person?</w:t>
      </w:r>
    </w:p>
    <w:p w:rsidR="00911682" w:rsidRDefault="00911682" w:rsidP="00911682">
      <w:pPr>
        <w:pStyle w:val="Listenabsatz"/>
        <w:numPr>
          <w:ilvl w:val="0"/>
          <w:numId w:val="5"/>
        </w:numPr>
      </w:pPr>
      <w:r>
        <w:t>Welche Aufgaben (Behörden-, Bank</w:t>
      </w:r>
      <w:r w:rsidR="00480CC2">
        <w:t>, Wohnungs</w:t>
      </w:r>
      <w:r>
        <w:t>- und Versicherungsangelegenheiten</w:t>
      </w:r>
      <w:r w:rsidR="00480CC2">
        <w:t>)</w:t>
      </w:r>
      <w:r>
        <w:t xml:space="preserve"> sollen im Notfall von anderen übernommen werden?</w:t>
      </w:r>
      <w:r w:rsidR="00480CC2">
        <w:t xml:space="preserve"> Auch die ärztliche, pflegerische und ambulante Versorgung ist betroffen, wenn z.B. häusliche Pflege oder die Unterbringung in ein Pflegeheim notwendig wird (hier ist dann evtl. die Wohnung</w:t>
      </w:r>
      <w:r w:rsidR="00491573">
        <w:t>s</w:t>
      </w:r>
      <w:r w:rsidR="00480CC2">
        <w:t>kündigung und damit verbunden die Kündigung von Strom-, Gas- und Telefonanbieter etc. zu erledigen).</w:t>
      </w:r>
    </w:p>
    <w:p w:rsidR="00911682" w:rsidRDefault="00480CC2" w:rsidP="00911682">
      <w:pPr>
        <w:pStyle w:val="Listenabsatz"/>
        <w:numPr>
          <w:ilvl w:val="0"/>
          <w:numId w:val="5"/>
        </w:numPr>
      </w:pPr>
      <w:r>
        <w:t xml:space="preserve">Die rechtsverbindliche Vertretung durch Familienangehörige ist </w:t>
      </w:r>
      <w:r w:rsidRPr="003F787D">
        <w:rPr>
          <w:b/>
        </w:rPr>
        <w:t>nicht</w:t>
      </w:r>
      <w:r>
        <w:t xml:space="preserve"> ohne weiteres möglich! </w:t>
      </w:r>
      <w:r w:rsidR="003F787D">
        <w:t>Sie muss ausdrücklich vereinbart oder gesetzlich angeordnet sein.</w:t>
      </w:r>
    </w:p>
    <w:p w:rsidR="003F787D" w:rsidRDefault="00491573" w:rsidP="00911682">
      <w:pPr>
        <w:pStyle w:val="Listenabsatz"/>
        <w:numPr>
          <w:ilvl w:val="0"/>
          <w:numId w:val="5"/>
        </w:numPr>
      </w:pPr>
      <w:r>
        <w:t xml:space="preserve">Fehlt eine Vorsorgevollmacht (ausdrückliche Vereinbarung), sowie eine gesetzliche Regelung, so bestellt das Betreuungsgericht bei Bedarf einen Betreuer für die Besorgung der Angelegenheiten. Dies </w:t>
      </w:r>
      <w:proofErr w:type="gramStart"/>
      <w:r>
        <w:t>kann</w:t>
      </w:r>
      <w:proofErr w:type="gramEnd"/>
      <w:r>
        <w:t xml:space="preserve"> ein amtlicher Betreuer oder auch ein Angehöriger sein. (Eignung wird vom Gericht geprüft)</w:t>
      </w:r>
      <w:r w:rsidR="00E4363F">
        <w:t>.</w:t>
      </w:r>
    </w:p>
    <w:p w:rsidR="00E4363F" w:rsidRDefault="00E4363F" w:rsidP="00911682">
      <w:pPr>
        <w:pStyle w:val="Listenabsatz"/>
        <w:numPr>
          <w:ilvl w:val="0"/>
          <w:numId w:val="5"/>
        </w:numPr>
      </w:pPr>
      <w:r>
        <w:t>Gesetzlich eingesetzte Betreuer werden vom Gericht beaufsichtigt, Bevollmächtigte nicht. Sie haben daher eine größere Freiheit bei der Durchsetzung der festgehaltenen Wünsche.</w:t>
      </w:r>
    </w:p>
    <w:p w:rsidR="00E4363F" w:rsidRDefault="0036230C" w:rsidP="00911682">
      <w:pPr>
        <w:pStyle w:val="Listenabsatz"/>
        <w:numPr>
          <w:ilvl w:val="0"/>
          <w:numId w:val="5"/>
        </w:numPr>
      </w:pPr>
      <w:r>
        <w:t>Um zu vermeiden, dass Bevollmächtigte ebenfalls nicht mehr ihren Willen äußern können, ist es ratsam</w:t>
      </w:r>
      <w:r w:rsidR="00FD6C30">
        <w:t xml:space="preserve"> eher</w:t>
      </w:r>
      <w:r>
        <w:t xml:space="preserve"> jüngere</w:t>
      </w:r>
      <w:r w:rsidR="00FD6C30">
        <w:t xml:space="preserve"> als ältere oder gleichalte</w:t>
      </w:r>
      <w:r>
        <w:t xml:space="preserve"> Personen zu benennen.</w:t>
      </w:r>
    </w:p>
    <w:p w:rsidR="002E5EAA" w:rsidRDefault="007B4D84" w:rsidP="002E5EAA">
      <w:pPr>
        <w:pStyle w:val="Listenabsatz"/>
        <w:numPr>
          <w:ilvl w:val="0"/>
          <w:numId w:val="5"/>
        </w:numPr>
      </w:pPr>
      <w:r>
        <w:t>Die</w:t>
      </w:r>
      <w:r w:rsidR="00FD6C30">
        <w:t xml:space="preserve"> </w:t>
      </w:r>
      <w:r w:rsidR="00FD6C30" w:rsidRPr="00FD6C30">
        <w:rPr>
          <w:b/>
        </w:rPr>
        <w:t>Generalvollmacht</w:t>
      </w:r>
      <w:r w:rsidR="00FD6C30">
        <w:rPr>
          <w:b/>
        </w:rPr>
        <w:t xml:space="preserve"> </w:t>
      </w:r>
      <w:r w:rsidR="00FD6C30">
        <w:t>gilt als uneingeschränkte Vertretungsbefugnis</w:t>
      </w:r>
      <w:r w:rsidR="002E5EAA">
        <w:t>. Besondere Formerfordernisse gibt es jedoch:</w:t>
      </w:r>
    </w:p>
    <w:p w:rsidR="002E5EAA" w:rsidRDefault="002E5EAA" w:rsidP="00295444">
      <w:pPr>
        <w:pStyle w:val="Listenabsatz"/>
        <w:numPr>
          <w:ilvl w:val="1"/>
          <w:numId w:val="5"/>
        </w:numPr>
      </w:pPr>
      <w:r>
        <w:t>Vorlage der schriftlichen Vollmacht bei lebensbedrohlichen Behandlungen/ Untersuchungen</w:t>
      </w:r>
      <w:r w:rsidR="00295444">
        <w:t xml:space="preserve"> oder bei freiheitsbeschränkenden Maßnahmen (z.B. Unterbringung in geschlossene Anstalt)</w:t>
      </w:r>
    </w:p>
    <w:p w:rsidR="00295444" w:rsidRDefault="00295444" w:rsidP="00295444">
      <w:pPr>
        <w:pStyle w:val="Listenabsatz"/>
        <w:numPr>
          <w:ilvl w:val="2"/>
          <w:numId w:val="5"/>
        </w:numPr>
      </w:pPr>
      <w:r>
        <w:t>Dies gilt jedoch nicht, wenn Arzt und Bevollmächtigte/r einer Meinung sind</w:t>
      </w:r>
    </w:p>
    <w:p w:rsidR="00295444" w:rsidRDefault="00295444" w:rsidP="00295444">
      <w:pPr>
        <w:pStyle w:val="Listenabsatz"/>
        <w:numPr>
          <w:ilvl w:val="1"/>
          <w:numId w:val="5"/>
        </w:numPr>
      </w:pPr>
      <w:r>
        <w:t>Zustimmung zu einer Organspende kann nicht vertreten werden.</w:t>
      </w:r>
    </w:p>
    <w:p w:rsidR="00295444" w:rsidRDefault="007B4D84" w:rsidP="00295444">
      <w:pPr>
        <w:pStyle w:val="Listenabsatz"/>
        <w:numPr>
          <w:ilvl w:val="1"/>
          <w:numId w:val="5"/>
        </w:numPr>
      </w:pPr>
      <w:r>
        <w:t>Notarielle Beurkundungen sind vorgeschrieben bei bestimmten Bankgeschäften, An- und Verkauf von Immobilien und der Geschäftsführung einer Firma</w:t>
      </w:r>
    </w:p>
    <w:p w:rsidR="007B4D84" w:rsidRDefault="007B4D84" w:rsidP="007B4D84">
      <w:pPr>
        <w:pStyle w:val="Listenabsatz"/>
        <w:numPr>
          <w:ilvl w:val="0"/>
          <w:numId w:val="5"/>
        </w:numPr>
      </w:pPr>
      <w:r>
        <w:lastRenderedPageBreak/>
        <w:t xml:space="preserve">Die </w:t>
      </w:r>
      <w:r w:rsidRPr="007B4D84">
        <w:rPr>
          <w:b/>
        </w:rPr>
        <w:t>Beschränkte Vollmacht</w:t>
      </w:r>
      <w:r>
        <w:rPr>
          <w:b/>
        </w:rPr>
        <w:t xml:space="preserve"> </w:t>
      </w:r>
      <w:r>
        <w:t>gilt nur für bestimmte Aufgabengebiete</w:t>
      </w:r>
    </w:p>
    <w:p w:rsidR="00911682" w:rsidRDefault="007B4D84" w:rsidP="00696191">
      <w:pPr>
        <w:pStyle w:val="Listenabsatz"/>
        <w:numPr>
          <w:ilvl w:val="0"/>
          <w:numId w:val="5"/>
        </w:numPr>
      </w:pPr>
      <w:r>
        <w:t xml:space="preserve">Absprachen zwischen dem </w:t>
      </w:r>
      <w:r w:rsidR="00696191">
        <w:t>zu Versorgenden</w:t>
      </w:r>
      <w:r>
        <w:t xml:space="preserve"> und dem Bevollmächtigten gehören nicht hinein! (ggf. gesonderte Vereinbarungen niederschreiben)</w:t>
      </w:r>
    </w:p>
    <w:p w:rsidR="00317257" w:rsidRPr="0026701A" w:rsidRDefault="00317257" w:rsidP="0026701A">
      <w:pPr>
        <w:pStyle w:val="Titel"/>
        <w:spacing w:before="480" w:after="240"/>
        <w:rPr>
          <w:u w:val="single"/>
        </w:rPr>
      </w:pPr>
      <w:r w:rsidRPr="0026701A">
        <w:rPr>
          <w:sz w:val="44"/>
          <w:u w:val="single"/>
        </w:rPr>
        <w:t>Testament</w:t>
      </w:r>
    </w:p>
    <w:p w:rsidR="00317257" w:rsidRPr="00317257" w:rsidRDefault="00317257" w:rsidP="00317257">
      <w:pPr>
        <w:pStyle w:val="Listenabsatz"/>
        <w:numPr>
          <w:ilvl w:val="0"/>
          <w:numId w:val="5"/>
        </w:numPr>
      </w:pPr>
      <w:r w:rsidRPr="00013869">
        <w:t xml:space="preserve">Testament (letzter Wille) geht der gesetzlichen Erbfolge (5. Buch BGB, §§ 1922 ff.) vor. </w:t>
      </w:r>
      <w:r w:rsidR="008E1E19" w:rsidRPr="00013869">
        <w:t>Daher: Ist die gesetzliche Erbfolge nicht erwünscht, ist ein Testament notwendig.</w:t>
      </w:r>
    </w:p>
    <w:p w:rsidR="00317257" w:rsidRPr="008E1E19" w:rsidRDefault="00317257" w:rsidP="00317257">
      <w:pPr>
        <w:pStyle w:val="Listenabsatz"/>
        <w:numPr>
          <w:ilvl w:val="0"/>
          <w:numId w:val="5"/>
        </w:numPr>
      </w:pPr>
      <w:r w:rsidRPr="00013869">
        <w:t>Hält fest, wer was oder wieviel vom Nachlass bekommt</w:t>
      </w:r>
    </w:p>
    <w:p w:rsidR="008E1E19" w:rsidRPr="008E1E19" w:rsidRDefault="008E1E19" w:rsidP="00317257">
      <w:pPr>
        <w:pStyle w:val="Listenabsatz"/>
        <w:numPr>
          <w:ilvl w:val="0"/>
          <w:numId w:val="5"/>
        </w:numPr>
      </w:pPr>
      <w:r w:rsidRPr="00013869">
        <w:t xml:space="preserve">das Testament muss entweder </w:t>
      </w:r>
      <w:r w:rsidRPr="00764929">
        <w:rPr>
          <w:b/>
        </w:rPr>
        <w:t>handschriftlich</w:t>
      </w:r>
      <w:r w:rsidRPr="00013869">
        <w:t>, daher vollständig eigenhändig von der testierende</w:t>
      </w:r>
      <w:r w:rsidR="00764929">
        <w:t>n</w:t>
      </w:r>
      <w:r w:rsidRPr="00013869">
        <w:t xml:space="preserve"> Person geschrieben und unterschrieben sein (mit Ort und Datumsangabe) </w:t>
      </w:r>
      <w:r w:rsidRPr="00764929">
        <w:rPr>
          <w:b/>
        </w:rPr>
        <w:t xml:space="preserve">oder in notariell beurkundeter Form vorliegen. </w:t>
      </w:r>
    </w:p>
    <w:p w:rsidR="008E1E19" w:rsidRPr="00E177EE" w:rsidRDefault="00454716" w:rsidP="00317257">
      <w:pPr>
        <w:pStyle w:val="Listenabsatz"/>
        <w:numPr>
          <w:ilvl w:val="0"/>
          <w:numId w:val="5"/>
        </w:numPr>
      </w:pPr>
      <w:r w:rsidRPr="00013869">
        <w:t xml:space="preserve">Damit ein Testament zur Anwendung kommt, muss es auffindbar sein. Um dies sicher zu stellen, sollte das handschriftliche Testament immer beim Amtsgericht/ </w:t>
      </w:r>
      <w:r w:rsidRPr="00C3744F">
        <w:rPr>
          <w:b/>
        </w:rPr>
        <w:t xml:space="preserve">Nachlassgericht </w:t>
      </w:r>
      <w:r w:rsidRPr="00013869">
        <w:t>hinterlegt sein. Ist der Testierende gestorben</w:t>
      </w:r>
      <w:r w:rsidR="00E177EE" w:rsidRPr="00013869">
        <w:t>,</w:t>
      </w:r>
      <w:r w:rsidRPr="00013869">
        <w:t xml:space="preserve"> wird es von Amts wegen</w:t>
      </w:r>
      <w:r w:rsidR="00E177EE" w:rsidRPr="00013869">
        <w:t xml:space="preserve"> nach Mittelung des Personenstandsregisters</w:t>
      </w:r>
      <w:r w:rsidRPr="00013869">
        <w:t xml:space="preserve"> geöffnet und den darin bedachten Personen und Einrichtungen förmlich zugestellt. </w:t>
      </w:r>
      <w:r w:rsidR="00E177EE" w:rsidRPr="00013869">
        <w:t>Für eine Änderung kann das Testament jederzeit wieder dem Nachlassgericht entnommen werden.</w:t>
      </w:r>
    </w:p>
    <w:p w:rsidR="00E177EE" w:rsidRDefault="00013869" w:rsidP="00317257">
      <w:pPr>
        <w:pStyle w:val="Listenabsatz"/>
        <w:numPr>
          <w:ilvl w:val="0"/>
          <w:numId w:val="5"/>
        </w:numPr>
      </w:pPr>
      <w:r>
        <w:t xml:space="preserve">Um sicher zu gehen, dass das Testament eindeutig formuliert ist und keine Auslegungsspielräume lässt, kann ein </w:t>
      </w:r>
      <w:r w:rsidRPr="002E75CD">
        <w:rPr>
          <w:b/>
        </w:rPr>
        <w:t>Fachanwalt für Erbrecht</w:t>
      </w:r>
      <w:r>
        <w:t xml:space="preserve"> hinzugezogen werden.</w:t>
      </w:r>
    </w:p>
    <w:p w:rsidR="00C3744F" w:rsidRPr="002E75CD" w:rsidRDefault="00C3744F" w:rsidP="00317257">
      <w:pPr>
        <w:pStyle w:val="Listenabsatz"/>
        <w:numPr>
          <w:ilvl w:val="0"/>
          <w:numId w:val="5"/>
        </w:numPr>
      </w:pPr>
      <w:r w:rsidRPr="002E75CD">
        <w:t xml:space="preserve">Gehört zum Nachlass </w:t>
      </w:r>
      <w:r w:rsidRPr="002E75CD">
        <w:rPr>
          <w:b/>
        </w:rPr>
        <w:t>Grundbesitz</w:t>
      </w:r>
      <w:r w:rsidRPr="002E75CD">
        <w:t xml:space="preserve">, ist bei einem handschriftlichen Testament </w:t>
      </w:r>
      <w:r w:rsidR="002E75CD" w:rsidRPr="002E75CD">
        <w:t>für die Berichtigung des Grundbuch</w:t>
      </w:r>
      <w:r w:rsidR="002E75CD">
        <w:t>eintrages</w:t>
      </w:r>
      <w:r w:rsidR="002E75CD" w:rsidRPr="002E75CD">
        <w:t xml:space="preserve"> </w:t>
      </w:r>
      <w:r w:rsidRPr="002E75CD">
        <w:t>die Beantragung eines kostenpflichtigen Erbscheins erforderlich</w:t>
      </w:r>
      <w:r w:rsidR="002E75CD" w:rsidRPr="002E75CD">
        <w:t>.</w:t>
      </w:r>
    </w:p>
    <w:p w:rsidR="002E75CD" w:rsidRDefault="008F5256" w:rsidP="00317257">
      <w:pPr>
        <w:pStyle w:val="Listenabsatz"/>
        <w:numPr>
          <w:ilvl w:val="0"/>
          <w:numId w:val="5"/>
        </w:numPr>
      </w:pPr>
      <w:r>
        <w:t>Als Auflage für eine Erbeinsetzung kann die Grabpflege verfügt werden, oder auch, wie mit persönlichen Sachen umgegangen werden soll.</w:t>
      </w:r>
    </w:p>
    <w:p w:rsidR="008F5256" w:rsidRDefault="008F5256" w:rsidP="00955477">
      <w:pPr>
        <w:pStyle w:val="Listenabsatz"/>
        <w:numPr>
          <w:ilvl w:val="0"/>
          <w:numId w:val="5"/>
        </w:numPr>
        <w:ind w:left="714" w:hanging="357"/>
      </w:pPr>
      <w:r w:rsidRPr="00091013">
        <w:t>Um sicher zu stellen, dass das Testament wirklich umgesetzt wird, kann eine</w:t>
      </w:r>
      <w:r w:rsidR="00091013" w:rsidRPr="00091013">
        <w:t xml:space="preserve"> </w:t>
      </w:r>
      <w:r w:rsidRPr="00091013">
        <w:rPr>
          <w:b/>
        </w:rPr>
        <w:t>Testamentsvollstreckung</w:t>
      </w:r>
      <w:r w:rsidR="00091013" w:rsidRPr="00091013">
        <w:t xml:space="preserve"> verfügt werden</w:t>
      </w:r>
      <w:r w:rsidRPr="00091013">
        <w:t xml:space="preserve">. Besonders </w:t>
      </w:r>
      <w:r w:rsidR="00091013" w:rsidRPr="00091013">
        <w:t xml:space="preserve">empfehlenswert ist dies, wenn Streit zwischen Verwandten absehbar ist, </w:t>
      </w:r>
      <w:r w:rsidRPr="00091013">
        <w:t xml:space="preserve">wenn von Todes </w:t>
      </w:r>
      <w:proofErr w:type="gramStart"/>
      <w:r w:rsidRPr="00091013">
        <w:t>wegen eine Stiftung</w:t>
      </w:r>
      <w:proofErr w:type="gramEnd"/>
      <w:r w:rsidRPr="00091013">
        <w:t xml:space="preserve"> errichtet wird oder</w:t>
      </w:r>
      <w:r w:rsidR="00091013" w:rsidRPr="00091013">
        <w:t xml:space="preserve"> wenn </w:t>
      </w:r>
      <w:r w:rsidRPr="00091013">
        <w:t>einzelne Vermögensgegenstände bestimmten Personen zugewendet</w:t>
      </w:r>
      <w:r w:rsidR="00091013" w:rsidRPr="00091013">
        <w:t xml:space="preserve"> werden</w:t>
      </w:r>
      <w:r w:rsidR="00091013">
        <w:t xml:space="preserve"> sollen</w:t>
      </w:r>
      <w:r w:rsidR="00091013" w:rsidRPr="00091013">
        <w:t>.</w:t>
      </w:r>
    </w:p>
    <w:p w:rsidR="00091013" w:rsidRDefault="00CD52ED" w:rsidP="00955477">
      <w:pPr>
        <w:pStyle w:val="Listenabsatz"/>
        <w:numPr>
          <w:ilvl w:val="0"/>
          <w:numId w:val="5"/>
        </w:numPr>
        <w:ind w:left="714" w:hanging="357"/>
      </w:pPr>
      <w:r w:rsidRPr="00CD52ED">
        <w:t xml:space="preserve">Die </w:t>
      </w:r>
      <w:r w:rsidRPr="00672EB7">
        <w:rPr>
          <w:b/>
        </w:rPr>
        <w:t>Gebühr des Notars</w:t>
      </w:r>
      <w:r w:rsidRPr="00CD52ED">
        <w:t xml:space="preserve"> (Rechtsanwaltsvergütungsgesetz) ist abhängig vom Nachlasswert, sowie von Umfang und Schwierigkeit der Beratung.</w:t>
      </w:r>
    </w:p>
    <w:p w:rsidR="00955477" w:rsidRDefault="00955477" w:rsidP="00955477">
      <w:pPr>
        <w:pStyle w:val="berschrift2"/>
      </w:pPr>
      <w:r>
        <w:t>Berliner Testament</w:t>
      </w:r>
    </w:p>
    <w:p w:rsidR="00955477" w:rsidRDefault="00955477" w:rsidP="00955477">
      <w:pPr>
        <w:pStyle w:val="Listenabsatz"/>
        <w:numPr>
          <w:ilvl w:val="0"/>
          <w:numId w:val="5"/>
        </w:numPr>
      </w:pPr>
      <w:r w:rsidRPr="00955477">
        <w:t>gemeinschaftliches Testament</w:t>
      </w:r>
      <w:r>
        <w:t xml:space="preserve"> von Ehe</w:t>
      </w:r>
      <w:r w:rsidR="0050061B">
        <w:t>partnern</w:t>
      </w:r>
    </w:p>
    <w:p w:rsidR="002E7BA5" w:rsidRDefault="002E7BA5" w:rsidP="00955477">
      <w:pPr>
        <w:pStyle w:val="Listenabsatz"/>
        <w:numPr>
          <w:ilvl w:val="0"/>
          <w:numId w:val="5"/>
        </w:numPr>
      </w:pPr>
      <w:r>
        <w:t>Kinder</w:t>
      </w:r>
      <w:r w:rsidRPr="002E7BA5">
        <w:t xml:space="preserve"> erben erst, wenn beide</w:t>
      </w:r>
      <w:r>
        <w:t xml:space="preserve"> </w:t>
      </w:r>
      <w:r w:rsidRPr="002E7BA5">
        <w:t>Eltern verstorben sind.</w:t>
      </w:r>
    </w:p>
    <w:p w:rsidR="00955477" w:rsidRDefault="00955477" w:rsidP="00955477">
      <w:pPr>
        <w:pStyle w:val="Listenabsatz"/>
        <w:numPr>
          <w:ilvl w:val="0"/>
          <w:numId w:val="5"/>
        </w:numPr>
      </w:pPr>
      <w:r>
        <w:t>kan</w:t>
      </w:r>
      <w:r w:rsidRPr="00955477">
        <w:t>n nur</w:t>
      </w:r>
      <w:r>
        <w:t xml:space="preserve"> </w:t>
      </w:r>
      <w:r w:rsidRPr="00955477">
        <w:t xml:space="preserve">einvernehmlich von beiden </w:t>
      </w:r>
      <w:r w:rsidR="002E7BA5">
        <w:t xml:space="preserve">Eheleuten </w:t>
      </w:r>
      <w:r w:rsidRPr="00955477">
        <w:t>geändert oder aufgehoben werden</w:t>
      </w:r>
    </w:p>
    <w:p w:rsidR="00104509" w:rsidRDefault="00955477" w:rsidP="00104509">
      <w:pPr>
        <w:pStyle w:val="Listenabsatz"/>
        <w:numPr>
          <w:ilvl w:val="0"/>
          <w:numId w:val="5"/>
        </w:numPr>
      </w:pPr>
      <w:r w:rsidRPr="00955477">
        <w:t>ein einseitiger Widerruf eines Ehepartners zu Lebzeiten</w:t>
      </w:r>
      <w:r>
        <w:t xml:space="preserve"> </w:t>
      </w:r>
      <w:r w:rsidRPr="00955477">
        <w:t xml:space="preserve">beider Ehegatten </w:t>
      </w:r>
      <w:r>
        <w:t xml:space="preserve">bedarf </w:t>
      </w:r>
      <w:r w:rsidRPr="00955477">
        <w:t>der notariellen Form und</w:t>
      </w:r>
      <w:r>
        <w:t xml:space="preserve"> </w:t>
      </w:r>
      <w:r w:rsidRPr="00955477">
        <w:t>wird nur mit förmlicher Zustellung beim ander</w:t>
      </w:r>
      <w:r w:rsidR="00104509">
        <w:t>e</w:t>
      </w:r>
      <w:r w:rsidRPr="00955477">
        <w:t>n Ehepartner rechtswirksam</w:t>
      </w:r>
    </w:p>
    <w:p w:rsidR="00104509" w:rsidRDefault="00955477" w:rsidP="00104509">
      <w:pPr>
        <w:pStyle w:val="Listenabsatz"/>
        <w:numPr>
          <w:ilvl w:val="0"/>
          <w:numId w:val="5"/>
        </w:numPr>
      </w:pPr>
      <w:r w:rsidRPr="00955477">
        <w:t>ein gemeinschaftlicher</w:t>
      </w:r>
      <w:r w:rsidR="00104509">
        <w:t xml:space="preserve"> </w:t>
      </w:r>
      <w:r w:rsidRPr="00955477">
        <w:t xml:space="preserve">letzter Wille wird </w:t>
      </w:r>
      <w:r w:rsidR="00104509">
        <w:t>bei Ehes</w:t>
      </w:r>
      <w:r w:rsidR="00104509" w:rsidRPr="00955477">
        <w:t>cheidung bzw. Aufhebung der</w:t>
      </w:r>
      <w:r w:rsidR="00104509">
        <w:t xml:space="preserve"> </w:t>
      </w:r>
      <w:r w:rsidR="00104509" w:rsidRPr="00955477">
        <w:t>Lebenspartnerschaft</w:t>
      </w:r>
      <w:r w:rsidR="00104509">
        <w:t xml:space="preserve"> </w:t>
      </w:r>
      <w:r w:rsidRPr="00955477">
        <w:t>ungültig</w:t>
      </w:r>
    </w:p>
    <w:p w:rsidR="00955477" w:rsidRDefault="00955477" w:rsidP="00104509">
      <w:pPr>
        <w:pStyle w:val="Listenabsatz"/>
        <w:numPr>
          <w:ilvl w:val="0"/>
          <w:numId w:val="5"/>
        </w:numPr>
      </w:pPr>
      <w:r w:rsidRPr="00104509">
        <w:t>Die gemeinsamen Kinder des Ehepaares sind nach dem Tod des</w:t>
      </w:r>
      <w:r w:rsidR="002E7BA5">
        <w:t xml:space="preserve"> </w:t>
      </w:r>
      <w:r w:rsidRPr="00104509">
        <w:t xml:space="preserve">überlebenden Ehegatten häufig entweder Nach- oder Schlusserben. </w:t>
      </w:r>
      <w:r w:rsidR="002E7BA5">
        <w:t>E</w:t>
      </w:r>
      <w:r w:rsidRPr="00104509">
        <w:t>in Berliner Testament</w:t>
      </w:r>
      <w:r w:rsidR="002E7BA5">
        <w:t xml:space="preserve"> verhindert</w:t>
      </w:r>
      <w:r w:rsidRPr="00104509">
        <w:t>, dass nach dem eigenen Ableben der</w:t>
      </w:r>
      <w:r w:rsidR="002E7BA5">
        <w:t xml:space="preserve"> l</w:t>
      </w:r>
      <w:r w:rsidRPr="00104509">
        <w:t xml:space="preserve">änger lebende Ehepartner die eigenen Kinder </w:t>
      </w:r>
      <w:r w:rsidR="002E7BA5">
        <w:t xml:space="preserve">(z.B. aufgrund einer erneuten Heirat mit weiteren eigenen Kindern) </w:t>
      </w:r>
      <w:r w:rsidRPr="00104509">
        <w:t>benachteiligt</w:t>
      </w:r>
      <w:r w:rsidR="002E7BA5">
        <w:t xml:space="preserve">. </w:t>
      </w:r>
      <w:r w:rsidRPr="00104509">
        <w:t>Als Nach- oder Schlusserbe kann auch eine dritte</w:t>
      </w:r>
      <w:r w:rsidR="002E7BA5">
        <w:t xml:space="preserve"> </w:t>
      </w:r>
      <w:r w:rsidRPr="00104509">
        <w:t>Person</w:t>
      </w:r>
      <w:r w:rsidR="002E7BA5">
        <w:t xml:space="preserve">, bzw. </w:t>
      </w:r>
      <w:r w:rsidR="002E7BA5" w:rsidRPr="00104509">
        <w:t>ein gemeinnütziger Verein</w:t>
      </w:r>
      <w:r w:rsidR="002E7BA5">
        <w:t xml:space="preserve">, </w:t>
      </w:r>
      <w:r w:rsidRPr="00104509">
        <w:t>eingesetzt werden</w:t>
      </w:r>
      <w:r w:rsidR="002E7BA5">
        <w:t>.</w:t>
      </w:r>
    </w:p>
    <w:p w:rsidR="00955477" w:rsidRPr="002E7BA5" w:rsidRDefault="002E7BA5" w:rsidP="002E7BA5">
      <w:pPr>
        <w:pStyle w:val="Listenabsatz"/>
        <w:numPr>
          <w:ilvl w:val="0"/>
          <w:numId w:val="5"/>
        </w:numPr>
      </w:pPr>
      <w:r>
        <w:lastRenderedPageBreak/>
        <w:t>F</w:t>
      </w:r>
      <w:r w:rsidR="00955477" w:rsidRPr="002E7BA5">
        <w:t>ordern Kinder nach</w:t>
      </w:r>
      <w:r>
        <w:t xml:space="preserve"> </w:t>
      </w:r>
      <w:r w:rsidR="00955477" w:rsidRPr="002E7BA5">
        <w:t>dem Tod des ersten Elternteils ihren Pflichtteil ein</w:t>
      </w:r>
      <w:r>
        <w:t>,</w:t>
      </w:r>
      <w:r w:rsidR="00955477" w:rsidRPr="002E7BA5">
        <w:t xml:space="preserve"> kann</w:t>
      </w:r>
      <w:r>
        <w:t xml:space="preserve"> </w:t>
      </w:r>
      <w:r w:rsidR="00955477" w:rsidRPr="002E7BA5">
        <w:t xml:space="preserve">mit einer </w:t>
      </w:r>
      <w:r w:rsidR="00955477" w:rsidRPr="002E7BA5">
        <w:rPr>
          <w:b/>
        </w:rPr>
        <w:t>"Pflichtteilsstrafklausel"</w:t>
      </w:r>
      <w:r w:rsidR="00955477" w:rsidRPr="002E7BA5">
        <w:t xml:space="preserve"> </w:t>
      </w:r>
      <w:r>
        <w:t>geregelt</w:t>
      </w:r>
      <w:r w:rsidR="00955477" w:rsidRPr="002E7BA5">
        <w:t xml:space="preserve"> werden</w:t>
      </w:r>
      <w:r>
        <w:t>,</w:t>
      </w:r>
      <w:r w:rsidR="00955477" w:rsidRPr="002E7BA5">
        <w:t xml:space="preserve"> dass </w:t>
      </w:r>
      <w:r>
        <w:t>diese</w:t>
      </w:r>
      <w:r w:rsidR="00955477" w:rsidRPr="002E7BA5">
        <w:t xml:space="preserve"> auch nach dem Tod des zweiten</w:t>
      </w:r>
      <w:r>
        <w:t xml:space="preserve"> </w:t>
      </w:r>
      <w:r w:rsidR="00955477" w:rsidRPr="002E7BA5">
        <w:t>Elternteils nur den Pflichtteil bekommen</w:t>
      </w:r>
    </w:p>
    <w:p w:rsidR="00955477" w:rsidRDefault="00955477" w:rsidP="00EB136F">
      <w:pPr>
        <w:pStyle w:val="berschrift2"/>
      </w:pPr>
      <w:r>
        <w:t>Quellen:</w:t>
      </w:r>
    </w:p>
    <w:p w:rsidR="00955477" w:rsidRDefault="00955477" w:rsidP="00955477">
      <w:r>
        <w:t xml:space="preserve">Heftchen </w:t>
      </w:r>
      <w:proofErr w:type="spellStart"/>
      <w:proofErr w:type="gramStart"/>
      <w:r>
        <w:t>muko.informationen</w:t>
      </w:r>
      <w:proofErr w:type="spellEnd"/>
      <w:proofErr w:type="gramEnd"/>
      <w:r>
        <w:t xml:space="preserve">: </w:t>
      </w:r>
      <w:r w:rsidR="0050061B">
        <w:t>„</w:t>
      </w:r>
      <w:r>
        <w:t>Patientenverfügung und Vorsorgevollmacht</w:t>
      </w:r>
      <w:r w:rsidR="0050061B">
        <w:t>“</w:t>
      </w:r>
      <w:r>
        <w:t>, Siegfried Arndt</w:t>
      </w:r>
      <w:r w:rsidR="0050061B">
        <w:t>, 2011</w:t>
      </w:r>
    </w:p>
    <w:p w:rsidR="0050061B" w:rsidRDefault="0050061B" w:rsidP="00955477">
      <w:r>
        <w:t>Berliner Senatsverwaltung für Gesundheit, Pflege und Gleichstellung: „Wenn Ihr Arzt nicht mehr heilen kann…Informationen rund um die Themen Sterben, Tod und Trauer“, Dr. Christina Fuhrmann, 2018</w:t>
      </w:r>
    </w:p>
    <w:p w:rsidR="00955477" w:rsidRDefault="00EE2237" w:rsidP="00955477">
      <w:hyperlink r:id="rId5" w:history="1">
        <w:r w:rsidR="007D65E3" w:rsidRPr="00CE3C22">
          <w:rPr>
            <w:rStyle w:val="Hyperlink"/>
          </w:rPr>
          <w:t>https://www.testament-schreiben.com/</w:t>
        </w:r>
      </w:hyperlink>
    </w:p>
    <w:p w:rsidR="007D65E3" w:rsidRDefault="007D65E3" w:rsidP="00955477">
      <w:r>
        <w:t>Links von Sandra Tiberi:</w:t>
      </w:r>
    </w:p>
    <w:p w:rsidR="007D65E3" w:rsidRDefault="007D65E3" w:rsidP="007D65E3">
      <w:pPr>
        <w:pStyle w:val="Listenabsatz"/>
        <w:numPr>
          <w:ilvl w:val="0"/>
          <w:numId w:val="5"/>
        </w:numPr>
      </w:pPr>
      <w:r>
        <w:t>zur Patientenverfügung, die Online ausgefüllt und gespeichert werden kann:</w:t>
      </w:r>
    </w:p>
    <w:p w:rsidR="007D65E3" w:rsidRDefault="00EE2237" w:rsidP="007D65E3">
      <w:pPr>
        <w:ind w:firstLine="708"/>
      </w:pPr>
      <w:hyperlink r:id="rId6" w:history="1">
        <w:r w:rsidR="007D65E3" w:rsidRPr="00EE2237">
          <w:rPr>
            <w:rStyle w:val="Hyperlink"/>
            <w:rFonts w:ascii="Helvetica" w:hAnsi="Helvetica" w:cs="Helvetica"/>
            <w:b/>
            <w:bCs/>
            <w:sz w:val="21"/>
            <w:szCs w:val="21"/>
          </w:rPr>
          <w:t>https://www.verbraucherzentrale.de/patientenverfuegung-online</w:t>
        </w:r>
      </w:hyperlink>
    </w:p>
    <w:p w:rsidR="007D65E3" w:rsidRDefault="007D65E3" w:rsidP="007D65E3">
      <w:pPr>
        <w:pStyle w:val="Listenabsatz"/>
        <w:numPr>
          <w:ilvl w:val="0"/>
          <w:numId w:val="5"/>
        </w:numPr>
      </w:pPr>
      <w:r>
        <w:t>zur Annahme der Erbschaft vor der Vollstreckung:</w:t>
      </w:r>
    </w:p>
    <w:p w:rsidR="007D65E3" w:rsidRDefault="00EE2237" w:rsidP="007D65E3">
      <w:pPr>
        <w:pStyle w:val="Listenabsatz"/>
        <w:rPr>
          <w:rFonts w:ascii="Helvetica" w:hAnsi="Helvetica" w:cs="Helvetica"/>
          <w:b/>
          <w:bCs/>
          <w:sz w:val="21"/>
          <w:szCs w:val="21"/>
          <w:shd w:val="clear" w:color="auto" w:fill="242528"/>
        </w:rPr>
      </w:pPr>
      <w:hyperlink r:id="rId7" w:history="1">
        <w:r w:rsidR="007D65E3" w:rsidRPr="00EE2237">
          <w:rPr>
            <w:rStyle w:val="Hyperlink"/>
            <w:rFonts w:ascii="Helvetica" w:hAnsi="Helvetica" w:cs="Helvetica"/>
            <w:b/>
            <w:bCs/>
            <w:sz w:val="21"/>
            <w:szCs w:val="21"/>
          </w:rPr>
          <w:t>https://www.erbrecht-ratgeber.de/erbrecht/erbschaft/miterbe-verlangt-auskunft.htm</w:t>
        </w:r>
        <w:r w:rsidR="007D65E3" w:rsidRPr="00CE3C22">
          <w:rPr>
            <w:rStyle w:val="Hyperlink"/>
            <w:rFonts w:ascii="Helvetica" w:hAnsi="Helvetica" w:cs="Helvetica"/>
            <w:b/>
            <w:bCs/>
            <w:sz w:val="21"/>
            <w:szCs w:val="21"/>
            <w:shd w:val="clear" w:color="auto" w:fill="242528"/>
          </w:rPr>
          <w:t>l</w:t>
        </w:r>
      </w:hyperlink>
    </w:p>
    <w:p w:rsidR="007D65E3" w:rsidRDefault="007D65E3" w:rsidP="007D65E3">
      <w:pPr>
        <w:pStyle w:val="Listenabsatz"/>
      </w:pPr>
    </w:p>
    <w:p w:rsidR="007D65E3" w:rsidRPr="00955477" w:rsidRDefault="007D65E3" w:rsidP="007D65E3">
      <w:pPr>
        <w:pStyle w:val="Listenabsatz"/>
      </w:pPr>
      <w:r>
        <w:t>Danke auch für den Hinweis von ihr, dass das Hinterlegen d</w:t>
      </w:r>
      <w:bookmarkStart w:id="0" w:name="_GoBack"/>
      <w:bookmarkEnd w:id="0"/>
      <w:r>
        <w:t>es Testamentes im Nachlassgericht (Amtsgericht) 75€ kostet.</w:t>
      </w:r>
    </w:p>
    <w:sectPr w:rsidR="007D65E3" w:rsidRPr="0095547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42E67"/>
    <w:multiLevelType w:val="hybridMultilevel"/>
    <w:tmpl w:val="4C70E866"/>
    <w:lvl w:ilvl="0" w:tplc="9D880F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673EA9"/>
    <w:multiLevelType w:val="hybridMultilevel"/>
    <w:tmpl w:val="20C6CB60"/>
    <w:lvl w:ilvl="0" w:tplc="9D880F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22CDC"/>
    <w:multiLevelType w:val="hybridMultilevel"/>
    <w:tmpl w:val="4A9A818E"/>
    <w:lvl w:ilvl="0" w:tplc="9D880F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A4238"/>
    <w:multiLevelType w:val="hybridMultilevel"/>
    <w:tmpl w:val="60A648FC"/>
    <w:lvl w:ilvl="0" w:tplc="9D880F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AB2044"/>
    <w:multiLevelType w:val="hybridMultilevel"/>
    <w:tmpl w:val="F9E8D004"/>
    <w:lvl w:ilvl="0" w:tplc="9D880F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9D6158"/>
    <w:multiLevelType w:val="hybridMultilevel"/>
    <w:tmpl w:val="57CC9E40"/>
    <w:lvl w:ilvl="0" w:tplc="9D880F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8A2CE0"/>
    <w:multiLevelType w:val="hybridMultilevel"/>
    <w:tmpl w:val="607AA074"/>
    <w:lvl w:ilvl="0" w:tplc="9D880F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EDC"/>
    <w:rsid w:val="00013869"/>
    <w:rsid w:val="00034CCE"/>
    <w:rsid w:val="00091013"/>
    <w:rsid w:val="00104509"/>
    <w:rsid w:val="001050D6"/>
    <w:rsid w:val="00174498"/>
    <w:rsid w:val="001819DE"/>
    <w:rsid w:val="0026701A"/>
    <w:rsid w:val="002672B6"/>
    <w:rsid w:val="00295444"/>
    <w:rsid w:val="002A4AC2"/>
    <w:rsid w:val="002B1EF8"/>
    <w:rsid w:val="002E5EAA"/>
    <w:rsid w:val="002E75CD"/>
    <w:rsid w:val="002E7BA5"/>
    <w:rsid w:val="002F31F9"/>
    <w:rsid w:val="00317257"/>
    <w:rsid w:val="0036230C"/>
    <w:rsid w:val="003B45FA"/>
    <w:rsid w:val="003F787D"/>
    <w:rsid w:val="00454716"/>
    <w:rsid w:val="00480CC2"/>
    <w:rsid w:val="00491573"/>
    <w:rsid w:val="0050061B"/>
    <w:rsid w:val="00510EDC"/>
    <w:rsid w:val="00672EB7"/>
    <w:rsid w:val="00696191"/>
    <w:rsid w:val="006C76F2"/>
    <w:rsid w:val="006C7F5C"/>
    <w:rsid w:val="00737D46"/>
    <w:rsid w:val="00764929"/>
    <w:rsid w:val="007B4D84"/>
    <w:rsid w:val="007D65E3"/>
    <w:rsid w:val="007E6818"/>
    <w:rsid w:val="008542B1"/>
    <w:rsid w:val="008C6DB6"/>
    <w:rsid w:val="008E0F9D"/>
    <w:rsid w:val="008E1E19"/>
    <w:rsid w:val="008F5256"/>
    <w:rsid w:val="00911682"/>
    <w:rsid w:val="00955477"/>
    <w:rsid w:val="009623E4"/>
    <w:rsid w:val="00A045ED"/>
    <w:rsid w:val="00A24A1E"/>
    <w:rsid w:val="00A35AF9"/>
    <w:rsid w:val="00A578F6"/>
    <w:rsid w:val="00AE1C97"/>
    <w:rsid w:val="00B712E9"/>
    <w:rsid w:val="00BC7EC8"/>
    <w:rsid w:val="00C22937"/>
    <w:rsid w:val="00C32634"/>
    <w:rsid w:val="00C3744F"/>
    <w:rsid w:val="00CD52ED"/>
    <w:rsid w:val="00D33AAC"/>
    <w:rsid w:val="00D567B1"/>
    <w:rsid w:val="00E0244C"/>
    <w:rsid w:val="00E177EE"/>
    <w:rsid w:val="00E23447"/>
    <w:rsid w:val="00E4363F"/>
    <w:rsid w:val="00E573EF"/>
    <w:rsid w:val="00EB136F"/>
    <w:rsid w:val="00EE2237"/>
    <w:rsid w:val="00F00D75"/>
    <w:rsid w:val="00F354BF"/>
    <w:rsid w:val="00FD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893FBB-A7D8-4376-8C3E-D2ECA8326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672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672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672B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2672B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2672B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354BF"/>
    <w:pPr>
      <w:ind w:left="720"/>
      <w:contextualSpacing/>
    </w:pPr>
  </w:style>
  <w:style w:type="paragraph" w:styleId="KeinLeerraum">
    <w:name w:val="No Spacing"/>
    <w:uiPriority w:val="1"/>
    <w:qFormat/>
    <w:rsid w:val="002672B6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672B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672B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672B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672B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2672B6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StandardWeb">
    <w:name w:val="Normal (Web)"/>
    <w:basedOn w:val="Standard"/>
    <w:uiPriority w:val="99"/>
    <w:semiHidden/>
    <w:unhideWhenUsed/>
    <w:rsid w:val="00955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7D65E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D65E3"/>
    <w:rPr>
      <w:color w:val="605E5C"/>
      <w:shd w:val="clear" w:color="auto" w:fill="E1DFDD"/>
    </w:rPr>
  </w:style>
  <w:style w:type="paragraph" w:styleId="Titel">
    <w:name w:val="Title"/>
    <w:basedOn w:val="Standard"/>
    <w:next w:val="Standard"/>
    <w:link w:val="TitelZchn"/>
    <w:uiPriority w:val="10"/>
    <w:qFormat/>
    <w:rsid w:val="0026701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670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BesuchterLink">
    <w:name w:val="FollowedHyperlink"/>
    <w:basedOn w:val="Absatz-Standardschriftart"/>
    <w:uiPriority w:val="99"/>
    <w:semiHidden/>
    <w:unhideWhenUsed/>
    <w:rsid w:val="00EE22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3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6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75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07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6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66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rbrecht-ratgeber.de/erbrecht/erbschaft/miterbe-verlangt-auskunf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erbraucherzentrale.de/patientenverfuegung-online" TargetMode="External"/><Relationship Id="rId5" Type="http://schemas.openxmlformats.org/officeDocument/2006/relationships/hyperlink" Target="https://www.testament-schreiben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1303</Words>
  <Characters>8213</Characters>
  <Application>Microsoft Office Word</Application>
  <DocSecurity>0</DocSecurity>
  <Lines>68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Constantin Borngesser</dc:creator>
  <cp:keywords/>
  <dc:description/>
  <cp:lastModifiedBy>Constantin Borngesser</cp:lastModifiedBy>
  <cp:revision>39</cp:revision>
  <dcterms:created xsi:type="dcterms:W3CDTF">2022-11-03T10:18:00Z</dcterms:created>
  <dcterms:modified xsi:type="dcterms:W3CDTF">2022-12-06T09:25:00Z</dcterms:modified>
</cp:coreProperties>
</file>